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3</w:t>
      </w:r>
    </w:p>
    <w:tbl>
      <w:tblPr>
        <w:tblStyle w:val="2"/>
        <w:tblW w:w="93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210"/>
        <w:gridCol w:w="1227"/>
        <w:gridCol w:w="1786"/>
        <w:gridCol w:w="1023"/>
        <w:gridCol w:w="1309"/>
        <w:gridCol w:w="11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32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广元市第一人民医院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医疗设备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医用直线加速器报废资产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明细表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入账日期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资产原值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资产数量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医用直线加速器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20151211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8,700,000.00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PRIMUSM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8,700,000.00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NjBjNDRhZTkwM2ZmMzJlNzhhYzA2NGUwNmY4YjAifQ=="/>
  </w:docVars>
  <w:rsids>
    <w:rsidRoot w:val="48F5331D"/>
    <w:rsid w:val="48F5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2023-03-24T07:34:00Z</dcterms:created>
  <dc:creator>美若黎明</dc:creator>
  <cp:lastModifiedBy>美若黎明</cp:lastModifiedBy>
  <dcterms:modified xsi:type="dcterms:W3CDTF">2023-03-24T07:35:05Z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2DD51D9AF7EB40A8BC2525D121467F2E_11</vt:lpwstr>
  </property>
</Properties>
</file>